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C8" w:rsidRPr="00A33B45" w:rsidRDefault="00A56FC8" w:rsidP="00B20BFC">
      <w:pPr>
        <w:spacing w:after="0" w:line="240" w:lineRule="auto"/>
        <w:jc w:val="both"/>
        <w:rPr>
          <w:rFonts w:ascii="Arial" w:eastAsia="Times New Roman" w:hAnsi="Arial" w:cs="Arial"/>
          <w:color w:val="000000"/>
          <w:lang w:eastAsia="fr-FR"/>
        </w:rPr>
      </w:pPr>
    </w:p>
    <w:tbl>
      <w:tblPr>
        <w:tblStyle w:val="Grilledutableau"/>
        <w:tblW w:w="0" w:type="auto"/>
        <w:tblLook w:val="04A0" w:firstRow="1" w:lastRow="0" w:firstColumn="1" w:lastColumn="0" w:noHBand="0" w:noVBand="1"/>
      </w:tblPr>
      <w:tblGrid>
        <w:gridCol w:w="2405"/>
        <w:gridCol w:w="6657"/>
      </w:tblGrid>
      <w:tr w:rsidR="00A56FC8" w:rsidTr="00A56FC8">
        <w:tc>
          <w:tcPr>
            <w:tcW w:w="2405" w:type="dxa"/>
          </w:tcPr>
          <w:p w:rsidR="00A56FC8" w:rsidRDefault="00A56FC8" w:rsidP="00B20BFC">
            <w:pPr>
              <w:jc w:val="both"/>
              <w:rPr>
                <w:rFonts w:ascii="Arial" w:eastAsia="Times New Roman" w:hAnsi="Arial" w:cs="Arial"/>
                <w:color w:val="000000"/>
                <w:lang w:eastAsia="fr-FR"/>
              </w:rPr>
            </w:pPr>
            <w:r w:rsidRPr="00A56FC8">
              <w:rPr>
                <w:rFonts w:ascii="Arial" w:eastAsia="Times New Roman" w:hAnsi="Arial" w:cs="Arial"/>
                <w:b/>
                <w:noProof/>
                <w:color w:val="1A1A1A"/>
                <w:lang w:eastAsia="fr-FR"/>
              </w:rPr>
              <w:drawing>
                <wp:inline distT="0" distB="0" distL="0" distR="0" wp14:anchorId="76E47371" wp14:editId="352D9B94">
                  <wp:extent cx="861181" cy="868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SA_2019-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2673" cy="870185"/>
                          </a:xfrm>
                          <a:prstGeom prst="rect">
                            <a:avLst/>
                          </a:prstGeom>
                        </pic:spPr>
                      </pic:pic>
                    </a:graphicData>
                  </a:graphic>
                </wp:inline>
              </w:drawing>
            </w:r>
          </w:p>
        </w:tc>
        <w:tc>
          <w:tcPr>
            <w:tcW w:w="6657" w:type="dxa"/>
          </w:tcPr>
          <w:p w:rsidR="00A56FC8" w:rsidRDefault="00A56FC8" w:rsidP="00A56FC8">
            <w:pPr>
              <w:jc w:val="both"/>
              <w:rPr>
                <w:rFonts w:ascii="Arial" w:eastAsia="Times New Roman" w:hAnsi="Arial" w:cs="Arial"/>
                <w:b/>
                <w:color w:val="000000"/>
                <w:lang w:eastAsia="fr-FR"/>
              </w:rPr>
            </w:pPr>
          </w:p>
          <w:p w:rsidR="00A56FC8" w:rsidRDefault="00A56FC8" w:rsidP="00A56FC8">
            <w:pPr>
              <w:jc w:val="both"/>
              <w:rPr>
                <w:rFonts w:ascii="Arial" w:eastAsia="Times New Roman" w:hAnsi="Arial" w:cs="Arial"/>
                <w:b/>
                <w:color w:val="000000"/>
                <w:lang w:eastAsia="fr-FR"/>
              </w:rPr>
            </w:pPr>
          </w:p>
          <w:p w:rsidR="00A56FC8" w:rsidRDefault="00A56FC8" w:rsidP="00A56FC8">
            <w:pPr>
              <w:jc w:val="center"/>
              <w:rPr>
                <w:rFonts w:ascii="Arial" w:eastAsia="Times New Roman" w:hAnsi="Arial" w:cs="Arial"/>
                <w:b/>
                <w:color w:val="000000"/>
                <w:sz w:val="28"/>
                <w:szCs w:val="28"/>
                <w:lang w:eastAsia="fr-FR"/>
              </w:rPr>
            </w:pPr>
            <w:r w:rsidRPr="00A56FC8">
              <w:rPr>
                <w:rFonts w:ascii="Arial" w:eastAsia="Times New Roman" w:hAnsi="Arial" w:cs="Arial"/>
                <w:b/>
                <w:color w:val="000000"/>
                <w:sz w:val="28"/>
                <w:szCs w:val="28"/>
                <w:lang w:eastAsia="fr-FR"/>
              </w:rPr>
              <w:t>Droit d’alerte du CSE</w:t>
            </w:r>
          </w:p>
          <w:p w:rsidR="00A56FC8" w:rsidRPr="00A56FC8" w:rsidRDefault="00A56FC8" w:rsidP="00A56FC8">
            <w:pPr>
              <w:jc w:val="center"/>
              <w:rPr>
                <w:rFonts w:ascii="Arial" w:eastAsia="Times New Roman" w:hAnsi="Arial" w:cs="Arial"/>
                <w:b/>
                <w:color w:val="000000"/>
                <w:sz w:val="28"/>
                <w:szCs w:val="28"/>
                <w:lang w:eastAsia="fr-FR"/>
              </w:rPr>
            </w:pPr>
            <w:r w:rsidRPr="00A56FC8">
              <w:rPr>
                <w:rFonts w:ascii="Arial" w:eastAsia="Times New Roman" w:hAnsi="Arial" w:cs="Arial"/>
                <w:b/>
                <w:color w:val="000000"/>
                <w:sz w:val="28"/>
                <w:szCs w:val="28"/>
                <w:lang w:eastAsia="fr-FR"/>
              </w:rPr>
              <w:t>pour danger grave et imminent</w:t>
            </w:r>
          </w:p>
          <w:p w:rsidR="00A56FC8" w:rsidRDefault="00A56FC8" w:rsidP="00B20BFC">
            <w:pPr>
              <w:jc w:val="both"/>
              <w:rPr>
                <w:rFonts w:ascii="Arial" w:eastAsia="Times New Roman" w:hAnsi="Arial" w:cs="Arial"/>
                <w:color w:val="000000"/>
                <w:lang w:eastAsia="fr-FR"/>
              </w:rPr>
            </w:pPr>
          </w:p>
        </w:tc>
      </w:tr>
    </w:tbl>
    <w:p w:rsidR="00B20BFC" w:rsidRPr="00A33B45" w:rsidRDefault="00B20BFC" w:rsidP="00B20BFC">
      <w:pPr>
        <w:spacing w:after="0" w:line="240" w:lineRule="auto"/>
        <w:jc w:val="both"/>
        <w:rPr>
          <w:rFonts w:ascii="Arial" w:eastAsia="Times New Roman" w:hAnsi="Arial" w:cs="Arial"/>
          <w:color w:val="000000"/>
          <w:lang w:eastAsia="fr-FR"/>
        </w:rPr>
      </w:pPr>
    </w:p>
    <w:p w:rsidR="009665EF" w:rsidRDefault="009665EF" w:rsidP="009665EF">
      <w:pPr>
        <w:pStyle w:val="NormalWeb"/>
        <w:jc w:val="both"/>
        <w:rPr>
          <w:rFonts w:ascii="Arial" w:hAnsi="Arial" w:cs="Arial"/>
          <w:color w:val="000000"/>
          <w:sz w:val="22"/>
          <w:szCs w:val="22"/>
        </w:rPr>
      </w:pPr>
      <w:r w:rsidRPr="00A33B45">
        <w:rPr>
          <w:rFonts w:ascii="Arial" w:hAnsi="Arial" w:cs="Arial"/>
          <w:color w:val="000000"/>
          <w:sz w:val="22"/>
          <w:szCs w:val="22"/>
        </w:rPr>
        <w:t xml:space="preserve">L’employeur est tenu à une obligation de sécurité et de protection de la santé envers ses salariés. Il doit prendre les mesures nécessaires pour assurer leur sécurité et protéger leur santé : actions de prévention, d'information et de formation, mise en place d'une organisation et de moyens adaptés (art </w:t>
      </w:r>
      <w:hyperlink r:id="rId8" w:history="1">
        <w:r w:rsidRPr="006B59AC">
          <w:rPr>
            <w:rStyle w:val="Lienhypertexte"/>
            <w:rFonts w:ascii="Arial" w:hAnsi="Arial" w:cs="Arial"/>
            <w:sz w:val="22"/>
            <w:szCs w:val="22"/>
          </w:rPr>
          <w:t>L. 4121-1</w:t>
        </w:r>
      </w:hyperlink>
      <w:r w:rsidRPr="00A33B45">
        <w:rPr>
          <w:rFonts w:ascii="Arial" w:hAnsi="Arial" w:cs="Arial"/>
          <w:color w:val="000000"/>
          <w:sz w:val="22"/>
          <w:szCs w:val="22"/>
        </w:rPr>
        <w:t xml:space="preserve">).  </w:t>
      </w:r>
    </w:p>
    <w:p w:rsidR="00FC2FC8" w:rsidRPr="00FC2FC8" w:rsidRDefault="00FC2FC8" w:rsidP="00FC2FC8">
      <w:pPr>
        <w:spacing w:before="100" w:beforeAutospacing="1" w:after="100" w:afterAutospacing="1" w:line="240" w:lineRule="auto"/>
        <w:rPr>
          <w:rFonts w:ascii="Arial" w:eastAsia="Times New Roman" w:hAnsi="Arial" w:cs="Arial"/>
          <w:color w:val="000000"/>
          <w:lang w:eastAsia="fr-FR"/>
        </w:rPr>
      </w:pPr>
      <w:r w:rsidRPr="00FC2FC8">
        <w:rPr>
          <w:rFonts w:ascii="Arial" w:eastAsia="Times New Roman" w:hAnsi="Arial" w:cs="Arial"/>
          <w:color w:val="000000"/>
          <w:lang w:eastAsia="fr-FR"/>
        </w:rPr>
        <w:t xml:space="preserve">Afin de promouvoir la santé, sécurité et des conditions de travail, le </w:t>
      </w:r>
      <w:r>
        <w:rPr>
          <w:rFonts w:ascii="Arial" w:eastAsia="Times New Roman" w:hAnsi="Arial" w:cs="Arial"/>
          <w:color w:val="000000"/>
          <w:lang w:eastAsia="fr-FR"/>
        </w:rPr>
        <w:t xml:space="preserve">CSE dispose du </w:t>
      </w:r>
      <w:r w:rsidRPr="00FC2FC8">
        <w:rPr>
          <w:rFonts w:ascii="Arial" w:eastAsia="Times New Roman" w:hAnsi="Arial" w:cs="Arial"/>
          <w:color w:val="000000"/>
          <w:lang w:eastAsia="fr-FR"/>
        </w:rPr>
        <w:t xml:space="preserve">droit de déclencher une procédure d'alerte, </w:t>
      </w:r>
      <w:r>
        <w:rPr>
          <w:rFonts w:ascii="Arial" w:eastAsia="Times New Roman" w:hAnsi="Arial" w:cs="Arial"/>
          <w:color w:val="000000"/>
          <w:lang w:eastAsia="fr-FR"/>
        </w:rPr>
        <w:t xml:space="preserve">notamment en cas </w:t>
      </w:r>
      <w:r w:rsidRPr="00FC2FC8">
        <w:rPr>
          <w:rFonts w:ascii="Arial" w:eastAsia="Times New Roman" w:hAnsi="Arial" w:cs="Arial"/>
          <w:color w:val="000000"/>
          <w:lang w:eastAsia="fr-FR"/>
        </w:rPr>
        <w:t xml:space="preserve">de danger grave et imminent quelle que soit </w:t>
      </w:r>
      <w:r>
        <w:rPr>
          <w:rFonts w:ascii="Arial" w:eastAsia="Times New Roman" w:hAnsi="Arial" w:cs="Arial"/>
          <w:color w:val="000000"/>
          <w:lang w:eastAsia="fr-FR"/>
        </w:rPr>
        <w:t>la taille de l'entreprise.</w:t>
      </w:r>
    </w:p>
    <w:p w:rsidR="003E2889" w:rsidRPr="006A6881" w:rsidRDefault="003E2889" w:rsidP="00B20BFC">
      <w:pPr>
        <w:spacing w:after="0" w:line="240" w:lineRule="auto"/>
        <w:jc w:val="both"/>
        <w:rPr>
          <w:rFonts w:ascii="Arial" w:eastAsia="Times New Roman" w:hAnsi="Arial" w:cs="Arial"/>
          <w:b/>
          <w:color w:val="1A1A1A"/>
          <w:lang w:eastAsia="fr-FR"/>
        </w:rPr>
      </w:pPr>
      <w:r w:rsidRPr="006A6881">
        <w:rPr>
          <w:rFonts w:ascii="Arial" w:eastAsia="Times New Roman" w:hAnsi="Arial" w:cs="Arial"/>
          <w:b/>
          <w:color w:val="1A1A1A"/>
          <w:lang w:eastAsia="fr-FR"/>
        </w:rPr>
        <w:t xml:space="preserve">Les notions de grave et imminent : </w:t>
      </w:r>
    </w:p>
    <w:p w:rsidR="003E2889" w:rsidRDefault="003E2889" w:rsidP="00B20BFC">
      <w:pPr>
        <w:spacing w:after="0" w:line="240" w:lineRule="auto"/>
        <w:jc w:val="both"/>
        <w:rPr>
          <w:rFonts w:ascii="Arial" w:eastAsia="Times New Roman" w:hAnsi="Arial" w:cs="Arial"/>
          <w:color w:val="1A1A1A"/>
          <w:lang w:eastAsia="fr-FR"/>
        </w:rPr>
      </w:pPr>
    </w:p>
    <w:p w:rsidR="006B59AC" w:rsidRPr="006B59AC" w:rsidRDefault="006B59AC" w:rsidP="006B59AC">
      <w:pPr>
        <w:autoSpaceDE w:val="0"/>
        <w:autoSpaceDN w:val="0"/>
        <w:adjustRightInd w:val="0"/>
        <w:spacing w:after="0" w:line="240" w:lineRule="auto"/>
        <w:rPr>
          <w:rFonts w:ascii="Arial" w:eastAsia="Times New Roman" w:hAnsi="Arial" w:cs="Arial"/>
          <w:color w:val="000000"/>
          <w:lang w:eastAsia="fr-FR"/>
        </w:rPr>
      </w:pPr>
      <w:r w:rsidRPr="006B59AC">
        <w:rPr>
          <w:rFonts w:ascii="Arial" w:eastAsia="Times New Roman" w:hAnsi="Arial" w:cs="Arial"/>
          <w:color w:val="000000"/>
          <w:lang w:eastAsia="fr-FR"/>
        </w:rPr>
        <w:t>Selon l'administration, est grave « tout danger susceptible de produire un accident ou une maladie entraînant la mort ou paraissant devoir</w:t>
      </w:r>
      <w:r>
        <w:rPr>
          <w:rFonts w:ascii="Arial" w:eastAsia="Times New Roman" w:hAnsi="Arial" w:cs="Arial"/>
          <w:color w:val="000000"/>
          <w:lang w:eastAsia="fr-FR"/>
        </w:rPr>
        <w:t xml:space="preserve"> </w:t>
      </w:r>
      <w:r w:rsidRPr="006B59AC">
        <w:rPr>
          <w:rFonts w:ascii="Arial" w:eastAsia="Times New Roman" w:hAnsi="Arial" w:cs="Arial"/>
          <w:color w:val="000000"/>
          <w:lang w:eastAsia="fr-FR"/>
        </w:rPr>
        <w:t>entraîner une incapacité permanente ou temporaire prolongée ». Est imminent « tout danger susceptible de se réaliser brutalement dans</w:t>
      </w:r>
      <w:r>
        <w:rPr>
          <w:rFonts w:ascii="Arial" w:eastAsia="Times New Roman" w:hAnsi="Arial" w:cs="Arial"/>
          <w:color w:val="000000"/>
          <w:lang w:eastAsia="fr-FR"/>
        </w:rPr>
        <w:t xml:space="preserve"> </w:t>
      </w:r>
      <w:r w:rsidRPr="006B59AC">
        <w:rPr>
          <w:rFonts w:ascii="Arial" w:eastAsia="Times New Roman" w:hAnsi="Arial" w:cs="Arial"/>
          <w:color w:val="000000"/>
          <w:lang w:eastAsia="fr-FR"/>
        </w:rPr>
        <w:t xml:space="preserve">un délai </w:t>
      </w:r>
      <w:r>
        <w:rPr>
          <w:rFonts w:ascii="Arial" w:eastAsia="Times New Roman" w:hAnsi="Arial" w:cs="Arial"/>
          <w:color w:val="000000"/>
          <w:lang w:eastAsia="fr-FR"/>
        </w:rPr>
        <w:t>rapproché</w:t>
      </w:r>
      <w:r w:rsidRPr="006B59AC">
        <w:rPr>
          <w:rFonts w:ascii="Arial" w:eastAsia="Times New Roman" w:hAnsi="Arial" w:cs="Arial"/>
          <w:color w:val="000000"/>
          <w:lang w:eastAsia="fr-FR"/>
        </w:rPr>
        <w:t xml:space="preserve"> ».</w:t>
      </w:r>
    </w:p>
    <w:p w:rsidR="003E2889" w:rsidRDefault="003E2889" w:rsidP="00B20BFC">
      <w:pPr>
        <w:spacing w:after="0" w:line="240" w:lineRule="auto"/>
        <w:jc w:val="both"/>
        <w:rPr>
          <w:rFonts w:ascii="Arial" w:eastAsia="Times New Roman" w:hAnsi="Arial" w:cs="Arial"/>
          <w:color w:val="1A1A1A"/>
          <w:lang w:eastAsia="fr-FR"/>
        </w:rPr>
      </w:pPr>
    </w:p>
    <w:p w:rsidR="006A6881" w:rsidRPr="006A6881" w:rsidRDefault="006A6881" w:rsidP="00B20BFC">
      <w:pPr>
        <w:spacing w:after="0" w:line="240" w:lineRule="auto"/>
        <w:jc w:val="both"/>
        <w:rPr>
          <w:rFonts w:ascii="Arial" w:eastAsia="Times New Roman" w:hAnsi="Arial" w:cs="Arial"/>
          <w:b/>
          <w:color w:val="1A1A1A"/>
          <w:lang w:eastAsia="fr-FR"/>
        </w:rPr>
      </w:pPr>
      <w:r w:rsidRPr="006A6881">
        <w:rPr>
          <w:rFonts w:ascii="Arial" w:eastAsia="Times New Roman" w:hAnsi="Arial" w:cs="Arial"/>
          <w:b/>
          <w:color w:val="1A1A1A"/>
          <w:lang w:eastAsia="fr-FR"/>
        </w:rPr>
        <w:t xml:space="preserve">Le déclenchement du droit d’alerte : </w:t>
      </w:r>
    </w:p>
    <w:p w:rsidR="006A6881" w:rsidRDefault="006A6881" w:rsidP="00B20BFC">
      <w:pPr>
        <w:spacing w:after="0" w:line="240" w:lineRule="auto"/>
        <w:jc w:val="both"/>
        <w:rPr>
          <w:rFonts w:ascii="Arial" w:eastAsia="Times New Roman" w:hAnsi="Arial" w:cs="Arial"/>
          <w:color w:val="1A1A1A"/>
          <w:lang w:eastAsia="fr-FR"/>
        </w:rPr>
      </w:pPr>
    </w:p>
    <w:p w:rsidR="00A3287C" w:rsidRDefault="00A3287C" w:rsidP="005A5F65">
      <w:pPr>
        <w:spacing w:after="0" w:line="240" w:lineRule="auto"/>
        <w:jc w:val="both"/>
        <w:rPr>
          <w:rFonts w:ascii="Arial" w:eastAsia="Times New Roman" w:hAnsi="Arial" w:cs="Arial"/>
          <w:b/>
          <w:color w:val="1A1A1A"/>
          <w:lang w:eastAsia="fr-FR"/>
        </w:rPr>
      </w:pPr>
      <w:r>
        <w:rPr>
          <w:rFonts w:ascii="Arial" w:eastAsia="Times New Roman" w:hAnsi="Arial" w:cs="Arial"/>
          <w:b/>
          <w:color w:val="1A1A1A"/>
          <w:lang w:eastAsia="fr-FR"/>
        </w:rPr>
        <w:t xml:space="preserve">Conseil UNSA : </w:t>
      </w:r>
    </w:p>
    <w:p w:rsidR="009565E2" w:rsidRDefault="009565E2" w:rsidP="005A5F65">
      <w:pPr>
        <w:spacing w:after="0" w:line="240" w:lineRule="auto"/>
        <w:jc w:val="both"/>
        <w:rPr>
          <w:rFonts w:ascii="Arial" w:eastAsia="Times New Roman" w:hAnsi="Arial" w:cs="Arial"/>
          <w:b/>
          <w:color w:val="1A1A1A"/>
          <w:lang w:eastAsia="fr-FR"/>
        </w:rPr>
      </w:pPr>
    </w:p>
    <w:p w:rsidR="005A5F65" w:rsidRDefault="00AD0818" w:rsidP="005A5F65">
      <w:pPr>
        <w:spacing w:after="0" w:line="240" w:lineRule="auto"/>
        <w:jc w:val="both"/>
        <w:rPr>
          <w:rFonts w:ascii="Arial" w:eastAsia="Times New Roman" w:hAnsi="Arial" w:cs="Arial"/>
          <w:b/>
          <w:color w:val="1A1A1A"/>
          <w:lang w:eastAsia="fr-FR"/>
        </w:rPr>
      </w:pPr>
      <w:r>
        <w:rPr>
          <w:rFonts w:ascii="Arial" w:eastAsia="Times New Roman" w:hAnsi="Arial" w:cs="Arial"/>
          <w:b/>
          <w:color w:val="1A1A1A"/>
          <w:lang w:eastAsia="fr-FR"/>
        </w:rPr>
        <w:t>L</w:t>
      </w:r>
      <w:r w:rsidR="005A5F65" w:rsidRPr="006F15ED">
        <w:rPr>
          <w:rFonts w:ascii="Arial" w:eastAsia="Times New Roman" w:hAnsi="Arial" w:cs="Arial"/>
          <w:b/>
          <w:color w:val="1A1A1A"/>
          <w:lang w:eastAsia="fr-FR"/>
        </w:rPr>
        <w:t>e droit d’alerte est à manier avec précaution</w:t>
      </w:r>
      <w:r w:rsidR="00865D19">
        <w:rPr>
          <w:rFonts w:ascii="Arial" w:eastAsia="Times New Roman" w:hAnsi="Arial" w:cs="Arial"/>
          <w:b/>
          <w:color w:val="1A1A1A"/>
          <w:lang w:eastAsia="fr-FR"/>
        </w:rPr>
        <w:t xml:space="preserve">, </w:t>
      </w:r>
      <w:r w:rsidR="00865D19" w:rsidRPr="00865D19">
        <w:rPr>
          <w:rFonts w:ascii="Arial" w:eastAsia="Times New Roman" w:hAnsi="Arial" w:cs="Arial"/>
          <w:b/>
          <w:color w:val="1A1A1A"/>
          <w:lang w:eastAsia="fr-FR"/>
        </w:rPr>
        <w:t>prudence et discernement</w:t>
      </w:r>
      <w:r w:rsidR="00865D19">
        <w:rPr>
          <w:rFonts w:ascii="Arial" w:eastAsia="Times New Roman" w:hAnsi="Arial" w:cs="Arial"/>
          <w:b/>
          <w:color w:val="1A1A1A"/>
          <w:lang w:eastAsia="fr-FR"/>
        </w:rPr>
        <w:t xml:space="preserve">. </w:t>
      </w:r>
      <w:r w:rsidR="005A5F65" w:rsidRPr="006F15ED">
        <w:rPr>
          <w:rFonts w:ascii="Arial" w:eastAsia="Times New Roman" w:hAnsi="Arial" w:cs="Arial"/>
          <w:b/>
          <w:color w:val="1A1A1A"/>
          <w:lang w:eastAsia="fr-FR"/>
        </w:rPr>
        <w:t xml:space="preserve">L’UNSA </w:t>
      </w:r>
      <w:r>
        <w:rPr>
          <w:rFonts w:ascii="Arial" w:eastAsia="Times New Roman" w:hAnsi="Arial" w:cs="Arial"/>
          <w:b/>
          <w:color w:val="1A1A1A"/>
          <w:lang w:eastAsia="fr-FR"/>
        </w:rPr>
        <w:t>recommande</w:t>
      </w:r>
      <w:r w:rsidR="00520B5C">
        <w:rPr>
          <w:rFonts w:ascii="Arial" w:eastAsia="Times New Roman" w:hAnsi="Arial" w:cs="Arial"/>
          <w:b/>
          <w:color w:val="1A1A1A"/>
          <w:lang w:eastAsia="fr-FR"/>
        </w:rPr>
        <w:t>,</w:t>
      </w:r>
      <w:r w:rsidR="005A5F65" w:rsidRPr="006F15ED">
        <w:rPr>
          <w:rFonts w:ascii="Arial" w:eastAsia="Times New Roman" w:hAnsi="Arial" w:cs="Arial"/>
          <w:b/>
          <w:color w:val="1A1A1A"/>
          <w:lang w:eastAsia="fr-FR"/>
        </w:rPr>
        <w:t xml:space="preserve"> avant </w:t>
      </w:r>
      <w:r w:rsidR="005A5F65">
        <w:rPr>
          <w:rFonts w:ascii="Arial" w:eastAsia="Times New Roman" w:hAnsi="Arial" w:cs="Arial"/>
          <w:b/>
          <w:color w:val="1A1A1A"/>
          <w:lang w:eastAsia="fr-FR"/>
        </w:rPr>
        <w:t>tout</w:t>
      </w:r>
      <w:r w:rsidR="005A5F65" w:rsidRPr="006F15ED">
        <w:rPr>
          <w:rFonts w:ascii="Arial" w:eastAsia="Times New Roman" w:hAnsi="Arial" w:cs="Arial"/>
          <w:b/>
          <w:color w:val="1A1A1A"/>
          <w:lang w:eastAsia="fr-FR"/>
        </w:rPr>
        <w:t xml:space="preserve"> </w:t>
      </w:r>
      <w:r w:rsidR="00520B5C">
        <w:rPr>
          <w:rFonts w:ascii="Arial" w:eastAsia="Times New Roman" w:hAnsi="Arial" w:cs="Arial"/>
          <w:b/>
          <w:color w:val="1A1A1A"/>
          <w:lang w:eastAsia="fr-FR"/>
        </w:rPr>
        <w:t>lancement de la procédure d’alerte</w:t>
      </w:r>
      <w:r w:rsidR="005A5F65">
        <w:rPr>
          <w:rFonts w:ascii="Arial" w:eastAsia="Times New Roman" w:hAnsi="Arial" w:cs="Arial"/>
          <w:b/>
          <w:color w:val="1A1A1A"/>
          <w:lang w:eastAsia="fr-FR"/>
        </w:rPr>
        <w:t>,</w:t>
      </w:r>
      <w:r w:rsidR="005A5F65" w:rsidRPr="006F15ED">
        <w:rPr>
          <w:rFonts w:ascii="Arial" w:eastAsia="Times New Roman" w:hAnsi="Arial" w:cs="Arial"/>
          <w:b/>
          <w:color w:val="1A1A1A"/>
          <w:lang w:eastAsia="fr-FR"/>
        </w:rPr>
        <w:t xml:space="preserve"> de prendre </w:t>
      </w:r>
      <w:r w:rsidR="005A5F65">
        <w:rPr>
          <w:rFonts w:ascii="Arial" w:eastAsia="Times New Roman" w:hAnsi="Arial" w:cs="Arial"/>
          <w:b/>
          <w:color w:val="1A1A1A"/>
          <w:lang w:eastAsia="fr-FR"/>
        </w:rPr>
        <w:t xml:space="preserve">conseil auprès </w:t>
      </w:r>
      <w:r>
        <w:rPr>
          <w:rFonts w:ascii="Arial" w:eastAsia="Times New Roman" w:hAnsi="Arial" w:cs="Arial"/>
          <w:b/>
          <w:color w:val="1A1A1A"/>
          <w:lang w:eastAsia="fr-FR"/>
        </w:rPr>
        <w:t>d’</w:t>
      </w:r>
      <w:r w:rsidR="005A5F65" w:rsidRPr="006F15ED">
        <w:rPr>
          <w:rFonts w:ascii="Arial" w:eastAsia="Times New Roman" w:hAnsi="Arial" w:cs="Arial"/>
          <w:b/>
          <w:color w:val="1A1A1A"/>
          <w:lang w:eastAsia="fr-FR"/>
        </w:rPr>
        <w:t>un expert partenaire de l’UNSA</w:t>
      </w:r>
      <w:r w:rsidR="005A5F65">
        <w:rPr>
          <w:rFonts w:ascii="Arial" w:eastAsia="Times New Roman" w:hAnsi="Arial" w:cs="Arial"/>
          <w:b/>
          <w:color w:val="1A1A1A"/>
          <w:lang w:eastAsia="fr-FR"/>
        </w:rPr>
        <w:t xml:space="preserve"> afin </w:t>
      </w:r>
      <w:r w:rsidR="005A5F65" w:rsidRPr="006F15ED">
        <w:rPr>
          <w:rFonts w:ascii="Arial" w:eastAsia="Times New Roman" w:hAnsi="Arial" w:cs="Arial"/>
          <w:b/>
          <w:color w:val="1A1A1A"/>
          <w:lang w:eastAsia="fr-FR"/>
        </w:rPr>
        <w:t>de vérifier que le droit d’alerte est justifié</w:t>
      </w:r>
      <w:r w:rsidR="00093BA0">
        <w:rPr>
          <w:rFonts w:ascii="Arial" w:eastAsia="Times New Roman" w:hAnsi="Arial" w:cs="Arial"/>
          <w:b/>
          <w:color w:val="1A1A1A"/>
          <w:lang w:eastAsia="fr-FR"/>
        </w:rPr>
        <w:t xml:space="preserve">. Il faut s’assurer </w:t>
      </w:r>
      <w:r w:rsidR="00093BA0" w:rsidRPr="00093BA0">
        <w:rPr>
          <w:rFonts w:ascii="Arial" w:eastAsia="Times New Roman" w:hAnsi="Arial" w:cs="Arial"/>
          <w:b/>
          <w:color w:val="1A1A1A"/>
          <w:lang w:eastAsia="fr-FR"/>
        </w:rPr>
        <w:t xml:space="preserve">d’avoir des indicateurs précis permettant de justifier la gravité </w:t>
      </w:r>
      <w:r w:rsidR="00552DA8">
        <w:rPr>
          <w:rFonts w:ascii="Arial" w:eastAsia="Times New Roman" w:hAnsi="Arial" w:cs="Arial"/>
          <w:b/>
          <w:color w:val="1A1A1A"/>
          <w:lang w:eastAsia="fr-FR"/>
        </w:rPr>
        <w:t xml:space="preserve">et l’imminence </w:t>
      </w:r>
      <w:r w:rsidR="00093BA0" w:rsidRPr="00093BA0">
        <w:rPr>
          <w:rFonts w:ascii="Arial" w:eastAsia="Times New Roman" w:hAnsi="Arial" w:cs="Arial"/>
          <w:b/>
          <w:color w:val="1A1A1A"/>
          <w:lang w:eastAsia="fr-FR"/>
        </w:rPr>
        <w:t>du risque en question</w:t>
      </w:r>
      <w:r w:rsidR="00093BA0">
        <w:rPr>
          <w:rFonts w:ascii="Arial" w:eastAsia="Times New Roman" w:hAnsi="Arial" w:cs="Arial"/>
          <w:b/>
          <w:color w:val="1A1A1A"/>
          <w:lang w:eastAsia="fr-FR"/>
        </w:rPr>
        <w:t>. S</w:t>
      </w:r>
      <w:r w:rsidR="005A5F65">
        <w:rPr>
          <w:rFonts w:ascii="Arial" w:eastAsia="Times New Roman" w:hAnsi="Arial" w:cs="Arial"/>
          <w:b/>
          <w:color w:val="1A1A1A"/>
          <w:lang w:eastAsia="fr-FR"/>
        </w:rPr>
        <w:t xml:space="preserve">i </w:t>
      </w:r>
      <w:r w:rsidR="00552DA8">
        <w:rPr>
          <w:rFonts w:ascii="Arial" w:eastAsia="Times New Roman" w:hAnsi="Arial" w:cs="Arial"/>
          <w:b/>
          <w:color w:val="1A1A1A"/>
          <w:lang w:eastAsia="fr-FR"/>
        </w:rPr>
        <w:t xml:space="preserve">l’expert confirme que </w:t>
      </w:r>
      <w:r w:rsidR="00093BA0">
        <w:rPr>
          <w:rFonts w:ascii="Arial" w:eastAsia="Times New Roman" w:hAnsi="Arial" w:cs="Arial"/>
          <w:b/>
          <w:color w:val="1A1A1A"/>
          <w:lang w:eastAsia="fr-FR"/>
        </w:rPr>
        <w:t xml:space="preserve">le risque </w:t>
      </w:r>
      <w:r w:rsidR="00552DA8">
        <w:rPr>
          <w:rFonts w:ascii="Arial" w:eastAsia="Times New Roman" w:hAnsi="Arial" w:cs="Arial"/>
          <w:b/>
          <w:color w:val="1A1A1A"/>
          <w:lang w:eastAsia="fr-FR"/>
        </w:rPr>
        <w:t>ap</w:t>
      </w:r>
      <w:r w:rsidR="00093BA0">
        <w:rPr>
          <w:rFonts w:ascii="Arial" w:eastAsia="Times New Roman" w:hAnsi="Arial" w:cs="Arial"/>
          <w:b/>
          <w:color w:val="1A1A1A"/>
          <w:lang w:eastAsia="fr-FR"/>
        </w:rPr>
        <w:t>paraît justifié</w:t>
      </w:r>
      <w:r w:rsidR="00552DA8">
        <w:rPr>
          <w:rFonts w:ascii="Arial" w:eastAsia="Times New Roman" w:hAnsi="Arial" w:cs="Arial"/>
          <w:b/>
          <w:color w:val="1A1A1A"/>
          <w:lang w:eastAsia="fr-FR"/>
        </w:rPr>
        <w:t xml:space="preserve">, vous pouvez déclencher ce droit d’alerte. Faites attention aussi à </w:t>
      </w:r>
      <w:r w:rsidR="005A5F65" w:rsidRPr="006F15ED">
        <w:rPr>
          <w:rFonts w:ascii="Arial" w:eastAsia="Times New Roman" w:hAnsi="Arial" w:cs="Arial"/>
          <w:b/>
          <w:color w:val="1A1A1A"/>
          <w:lang w:eastAsia="fr-FR"/>
        </w:rPr>
        <w:t xml:space="preserve">bien sécuriser l’ordre du jour du CSE. </w:t>
      </w:r>
    </w:p>
    <w:p w:rsidR="005A5F65" w:rsidRPr="006F15ED" w:rsidRDefault="005A5F65" w:rsidP="005A5F65">
      <w:pPr>
        <w:spacing w:after="0" w:line="240" w:lineRule="auto"/>
        <w:jc w:val="both"/>
        <w:rPr>
          <w:rFonts w:ascii="Arial" w:eastAsia="Times New Roman" w:hAnsi="Arial" w:cs="Arial"/>
          <w:b/>
          <w:lang w:eastAsia="fr-FR"/>
        </w:rPr>
      </w:pPr>
    </w:p>
    <w:p w:rsidR="00B20BFC" w:rsidRDefault="00B20BFC" w:rsidP="00B20BFC">
      <w:pPr>
        <w:spacing w:after="0" w:line="240" w:lineRule="auto"/>
        <w:jc w:val="both"/>
        <w:rPr>
          <w:rFonts w:ascii="Arial" w:eastAsia="Times New Roman" w:hAnsi="Arial" w:cs="Arial"/>
          <w:color w:val="1A1A1A"/>
          <w:lang w:eastAsia="fr-FR"/>
        </w:rPr>
      </w:pPr>
      <w:r w:rsidRPr="00A33B45">
        <w:rPr>
          <w:rFonts w:ascii="Arial" w:eastAsia="Times New Roman" w:hAnsi="Arial" w:cs="Arial"/>
          <w:color w:val="1A1A1A"/>
          <w:lang w:eastAsia="fr-FR"/>
        </w:rPr>
        <w:t xml:space="preserve">Lorsqu'un représentant du personnel au CSE, constate qu'il existe un danger grave et imminent </w:t>
      </w:r>
      <w:r w:rsidR="009665EF" w:rsidRPr="009665EF">
        <w:rPr>
          <w:rFonts w:ascii="Arial" w:eastAsia="Times New Roman" w:hAnsi="Arial" w:cs="Arial"/>
          <w:color w:val="1A1A1A"/>
          <w:lang w:eastAsia="fr-FR"/>
        </w:rPr>
        <w:t>pour la vie ou la santé des salariés,</w:t>
      </w:r>
      <w:r w:rsidR="009665EF" w:rsidRPr="009665EF">
        <w:rPr>
          <w:rFonts w:ascii="Arial" w:hAnsi="Arial" w:cs="Arial"/>
          <w:color w:val="000000"/>
        </w:rPr>
        <w:t xml:space="preserve"> ou si des défectuosités sont constatées dans les systèmes de protection</w:t>
      </w:r>
      <w:r w:rsidR="009665EF" w:rsidRPr="00A33B45">
        <w:rPr>
          <w:rFonts w:ascii="Arial" w:eastAsia="Times New Roman" w:hAnsi="Arial" w:cs="Arial"/>
          <w:color w:val="1A1A1A"/>
          <w:lang w:eastAsia="fr-FR"/>
        </w:rPr>
        <w:t xml:space="preserve"> </w:t>
      </w:r>
      <w:r w:rsidRPr="00A33B45">
        <w:rPr>
          <w:rFonts w:ascii="Arial" w:eastAsia="Times New Roman" w:hAnsi="Arial" w:cs="Arial"/>
          <w:color w:val="1A1A1A"/>
          <w:lang w:eastAsia="fr-FR"/>
        </w:rPr>
        <w:t xml:space="preserve">(notamment par l'intermédiaire d'un salarié), il en avise immédiatement l'employeur ou son représentant et consigne cet avis par écrit (art. </w:t>
      </w:r>
      <w:r w:rsidRPr="006B59AC">
        <w:rPr>
          <w:rFonts w:ascii="Arial" w:eastAsia="Times New Roman" w:hAnsi="Arial" w:cs="Arial"/>
          <w:color w:val="1A1A1A"/>
          <w:lang w:eastAsia="fr-FR"/>
        </w:rPr>
        <w:t xml:space="preserve">L. </w:t>
      </w:r>
      <w:hyperlink r:id="rId9" w:history="1">
        <w:r w:rsidRPr="006B59AC">
          <w:rPr>
            <w:rStyle w:val="Lienhypertexte"/>
            <w:rFonts w:ascii="Arial" w:eastAsia="Times New Roman" w:hAnsi="Arial" w:cs="Arial"/>
            <w:lang w:eastAsia="fr-FR"/>
          </w:rPr>
          <w:t>4131-2</w:t>
        </w:r>
      </w:hyperlink>
      <w:r w:rsidRPr="00A33B45">
        <w:rPr>
          <w:rFonts w:ascii="Arial" w:eastAsia="Times New Roman" w:hAnsi="Arial" w:cs="Arial"/>
          <w:color w:val="1A1A1A"/>
          <w:lang w:eastAsia="fr-FR"/>
        </w:rPr>
        <w:t xml:space="preserve">, L. </w:t>
      </w:r>
      <w:hyperlink r:id="rId10" w:history="1">
        <w:r w:rsidRPr="006B59AC">
          <w:rPr>
            <w:rStyle w:val="Lienhypertexte"/>
            <w:rFonts w:ascii="Arial" w:eastAsia="Times New Roman" w:hAnsi="Arial" w:cs="Arial"/>
            <w:lang w:eastAsia="fr-FR"/>
          </w:rPr>
          <w:t>4132-2</w:t>
        </w:r>
      </w:hyperlink>
      <w:r w:rsidRPr="00A33B45">
        <w:rPr>
          <w:rFonts w:ascii="Arial" w:eastAsia="Times New Roman" w:hAnsi="Arial" w:cs="Arial"/>
          <w:color w:val="1A1A1A"/>
          <w:lang w:eastAsia="fr-FR"/>
        </w:rPr>
        <w:t xml:space="preserve"> et </w:t>
      </w:r>
      <w:hyperlink r:id="rId11" w:history="1">
        <w:r w:rsidRPr="006B59AC">
          <w:rPr>
            <w:rStyle w:val="Lienhypertexte"/>
            <w:rFonts w:ascii="Arial" w:eastAsia="Times New Roman" w:hAnsi="Arial" w:cs="Arial"/>
            <w:lang w:eastAsia="fr-FR"/>
          </w:rPr>
          <w:t>D. 4132-1</w:t>
        </w:r>
      </w:hyperlink>
      <w:r w:rsidRPr="00A33B45">
        <w:rPr>
          <w:rFonts w:ascii="Arial" w:eastAsia="Times New Roman" w:hAnsi="Arial" w:cs="Arial"/>
          <w:color w:val="1A1A1A"/>
          <w:lang w:eastAsia="fr-FR"/>
        </w:rPr>
        <w:t xml:space="preserve">). L'administration a par ailleurs précisé que cette mission pouvait valablement être </w:t>
      </w:r>
      <w:proofErr w:type="gramStart"/>
      <w:r w:rsidRPr="00A33B45">
        <w:rPr>
          <w:rFonts w:ascii="Arial" w:eastAsia="Times New Roman" w:hAnsi="Arial" w:cs="Arial"/>
          <w:color w:val="1A1A1A"/>
          <w:lang w:eastAsia="fr-FR"/>
        </w:rPr>
        <w:t>confiée</w:t>
      </w:r>
      <w:proofErr w:type="gramEnd"/>
      <w:r w:rsidRPr="00A33B45">
        <w:rPr>
          <w:rFonts w:ascii="Arial" w:eastAsia="Times New Roman" w:hAnsi="Arial" w:cs="Arial"/>
          <w:color w:val="1A1A1A"/>
          <w:lang w:eastAsia="fr-FR"/>
        </w:rPr>
        <w:t xml:space="preserve"> aux membres de la CSSCT (Questions-réponses sur le CSE, ministère du Travail, janv. 2020, question 101). </w:t>
      </w:r>
    </w:p>
    <w:p w:rsidR="00901E26" w:rsidRDefault="00901E26" w:rsidP="00B20BFC">
      <w:pPr>
        <w:spacing w:after="0" w:line="240" w:lineRule="auto"/>
        <w:jc w:val="both"/>
        <w:rPr>
          <w:rFonts w:ascii="Arial" w:eastAsia="Times New Roman" w:hAnsi="Arial" w:cs="Arial"/>
          <w:color w:val="1A1A1A"/>
          <w:lang w:eastAsia="fr-FR"/>
        </w:rPr>
      </w:pPr>
    </w:p>
    <w:p w:rsidR="00B20BFC" w:rsidRPr="00A33B45" w:rsidRDefault="00B20BFC" w:rsidP="00B20BFC">
      <w:pPr>
        <w:spacing w:after="0" w:line="240" w:lineRule="auto"/>
        <w:rPr>
          <w:rFonts w:ascii="Arial" w:eastAsia="Times New Roman" w:hAnsi="Arial" w:cs="Arial"/>
          <w:lang w:eastAsia="fr-FR"/>
        </w:rPr>
      </w:pPr>
    </w:p>
    <w:p w:rsidR="00B20BFC" w:rsidRPr="00A33B45" w:rsidRDefault="00B20BFC" w:rsidP="006A6881">
      <w:pPr>
        <w:spacing w:after="0" w:line="240" w:lineRule="auto"/>
        <w:jc w:val="both"/>
        <w:rPr>
          <w:rFonts w:ascii="Arial" w:eastAsia="Times New Roman" w:hAnsi="Arial" w:cs="Arial"/>
          <w:lang w:eastAsia="fr-FR"/>
        </w:rPr>
      </w:pPr>
      <w:r w:rsidRPr="00A33B45">
        <w:rPr>
          <w:rFonts w:ascii="Arial" w:eastAsia="Times New Roman" w:hAnsi="Arial" w:cs="Arial"/>
          <w:color w:val="1A1A1A"/>
          <w:lang w:eastAsia="fr-FR"/>
        </w:rPr>
        <w:t>L’avis du CSE doit être consigné sur un registre spécial dont les pages sont numérotées et authentifiées par le tampon du CSE. Il est daté, signé et comporte l'indication du ou des postes de travail concernés, de la nature du danger et de sa cause, ainsi que le nom du ou des salariés exposés (art. D. 4132-1).</w:t>
      </w:r>
    </w:p>
    <w:p w:rsidR="00B20BFC" w:rsidRPr="00A33B45" w:rsidRDefault="00B20BFC" w:rsidP="00B20BFC">
      <w:pPr>
        <w:spacing w:after="0" w:line="240" w:lineRule="auto"/>
        <w:rPr>
          <w:rFonts w:ascii="Arial" w:eastAsia="Times New Roman" w:hAnsi="Arial" w:cs="Arial"/>
          <w:lang w:eastAsia="fr-FR"/>
        </w:rPr>
      </w:pPr>
    </w:p>
    <w:p w:rsidR="00B20BFC" w:rsidRPr="006A6881" w:rsidRDefault="00B20BFC" w:rsidP="006A6881">
      <w:pPr>
        <w:spacing w:after="0" w:line="240" w:lineRule="auto"/>
        <w:jc w:val="both"/>
        <w:rPr>
          <w:rFonts w:ascii="Arial" w:eastAsia="Times New Roman" w:hAnsi="Arial" w:cs="Arial"/>
          <w:b/>
          <w:lang w:eastAsia="fr-FR"/>
        </w:rPr>
      </w:pPr>
      <w:r w:rsidRPr="006A6881">
        <w:rPr>
          <w:rFonts w:ascii="Arial" w:eastAsia="Times New Roman" w:hAnsi="Arial" w:cs="Arial"/>
          <w:b/>
          <w:color w:val="1A1A1A"/>
          <w:lang w:eastAsia="fr-FR"/>
        </w:rPr>
        <w:t>Suites données au droit d'alerte exercé par un membre du CSE :</w:t>
      </w:r>
    </w:p>
    <w:p w:rsidR="00B20BFC" w:rsidRPr="00A33B45" w:rsidRDefault="00B20BFC" w:rsidP="00B20BFC">
      <w:pPr>
        <w:spacing w:after="0" w:line="240" w:lineRule="auto"/>
        <w:rPr>
          <w:rFonts w:ascii="Arial" w:eastAsia="Times New Roman" w:hAnsi="Arial" w:cs="Arial"/>
          <w:lang w:eastAsia="fr-FR"/>
        </w:rPr>
      </w:pPr>
    </w:p>
    <w:p w:rsidR="00B20BFC" w:rsidRPr="00FE6CC8" w:rsidRDefault="00B20BFC" w:rsidP="00FE6CC8">
      <w:pPr>
        <w:pStyle w:val="Paragraphedeliste"/>
        <w:numPr>
          <w:ilvl w:val="0"/>
          <w:numId w:val="2"/>
        </w:numPr>
        <w:spacing w:after="0" w:line="240" w:lineRule="auto"/>
        <w:jc w:val="both"/>
        <w:textAlignment w:val="baseline"/>
        <w:rPr>
          <w:rFonts w:ascii="Arial" w:eastAsia="Times New Roman" w:hAnsi="Arial" w:cs="Arial"/>
          <w:color w:val="1A1A1A"/>
          <w:lang w:eastAsia="fr-FR"/>
        </w:rPr>
      </w:pPr>
      <w:r w:rsidRPr="00FE6CC8">
        <w:rPr>
          <w:rFonts w:ascii="Arial" w:eastAsia="Times New Roman" w:hAnsi="Arial" w:cs="Arial"/>
          <w:b/>
          <w:bCs/>
          <w:color w:val="1A1A1A"/>
          <w:lang w:eastAsia="fr-FR"/>
        </w:rPr>
        <w:t>La mise en place d’une enquête</w:t>
      </w:r>
      <w:r w:rsidRPr="00FE6CC8">
        <w:rPr>
          <w:rFonts w:ascii="Arial" w:eastAsia="Times New Roman" w:hAnsi="Arial" w:cs="Arial"/>
          <w:color w:val="1A1A1A"/>
          <w:lang w:eastAsia="fr-FR"/>
        </w:rPr>
        <w:t xml:space="preserve"> :</w:t>
      </w:r>
    </w:p>
    <w:p w:rsidR="00B20BFC" w:rsidRDefault="00B20BFC" w:rsidP="00B20BFC">
      <w:pPr>
        <w:spacing w:after="0" w:line="240" w:lineRule="auto"/>
        <w:ind w:left="1440"/>
        <w:jc w:val="both"/>
        <w:rPr>
          <w:rFonts w:ascii="Arial" w:eastAsia="Times New Roman" w:hAnsi="Arial" w:cs="Arial"/>
          <w:color w:val="1A1A1A"/>
          <w:lang w:eastAsia="fr-FR"/>
        </w:rPr>
      </w:pPr>
      <w:r w:rsidRPr="00A33B45">
        <w:rPr>
          <w:rFonts w:ascii="Arial" w:eastAsia="Times New Roman" w:hAnsi="Arial" w:cs="Arial"/>
          <w:color w:val="1A1A1A"/>
          <w:lang w:eastAsia="fr-FR"/>
        </w:rPr>
        <w:lastRenderedPageBreak/>
        <w:t xml:space="preserve">A la suite d'un avis de danger grave et imminent émis par un représentant du personnel au CSE, l'employeur doit procéder sur-le-champ à une enquête avec le membre du CSE qui lui a signalé le danger et prendre les mesures nécessaires pour y remédier (article L. 4132-2). Le CSE peut faire appel à un expert habilité lorsqu'un risque grave est constaté dans l'établissement (article </w:t>
      </w:r>
      <w:hyperlink r:id="rId12" w:history="1">
        <w:r w:rsidRPr="006B59AC">
          <w:rPr>
            <w:rStyle w:val="Lienhypertexte"/>
            <w:rFonts w:ascii="Arial" w:eastAsia="Times New Roman" w:hAnsi="Arial" w:cs="Arial"/>
            <w:lang w:eastAsia="fr-FR"/>
          </w:rPr>
          <w:t>L. 2315-94</w:t>
        </w:r>
      </w:hyperlink>
      <w:r w:rsidRPr="00A33B45">
        <w:rPr>
          <w:rFonts w:ascii="Arial" w:eastAsia="Times New Roman" w:hAnsi="Arial" w:cs="Arial"/>
          <w:color w:val="1A1A1A"/>
          <w:lang w:eastAsia="fr-FR"/>
        </w:rPr>
        <w:t>) ;</w:t>
      </w:r>
    </w:p>
    <w:p w:rsidR="00B20BFC" w:rsidRPr="00A33B45" w:rsidRDefault="00B20BFC" w:rsidP="00B20BFC">
      <w:pPr>
        <w:spacing w:after="0" w:line="240" w:lineRule="auto"/>
        <w:rPr>
          <w:rFonts w:ascii="Arial" w:eastAsia="Times New Roman" w:hAnsi="Arial" w:cs="Arial"/>
          <w:lang w:eastAsia="fr-FR"/>
        </w:rPr>
      </w:pPr>
    </w:p>
    <w:p w:rsidR="00B20BFC" w:rsidRPr="00A33B45" w:rsidRDefault="00B20BFC" w:rsidP="00B20BFC">
      <w:pPr>
        <w:spacing w:after="0" w:line="240" w:lineRule="auto"/>
        <w:ind w:left="1440"/>
        <w:jc w:val="both"/>
        <w:rPr>
          <w:rFonts w:ascii="Arial" w:eastAsia="Times New Roman" w:hAnsi="Arial" w:cs="Arial"/>
          <w:lang w:eastAsia="fr-FR"/>
        </w:rPr>
      </w:pPr>
      <w:r w:rsidRPr="00A33B45">
        <w:rPr>
          <w:rFonts w:ascii="Arial" w:eastAsia="Times New Roman" w:hAnsi="Arial" w:cs="Arial"/>
          <w:b/>
          <w:bCs/>
          <w:color w:val="1A1A1A"/>
          <w:lang w:eastAsia="fr-FR"/>
        </w:rPr>
        <w:t>- L’adoption des mesures de sécurité nécessaires :</w:t>
      </w:r>
    </w:p>
    <w:p w:rsidR="00B20BFC" w:rsidRDefault="00B20BFC" w:rsidP="00B20BFC">
      <w:pPr>
        <w:spacing w:after="0" w:line="240" w:lineRule="auto"/>
        <w:ind w:left="1440"/>
        <w:jc w:val="both"/>
        <w:rPr>
          <w:rFonts w:ascii="Arial" w:eastAsia="Times New Roman" w:hAnsi="Arial" w:cs="Arial"/>
          <w:color w:val="1A1A1A"/>
          <w:lang w:eastAsia="fr-FR"/>
        </w:rPr>
      </w:pPr>
      <w:r w:rsidRPr="00A33B45">
        <w:rPr>
          <w:rFonts w:ascii="Arial" w:eastAsia="Times New Roman" w:hAnsi="Arial" w:cs="Arial"/>
          <w:color w:val="1A1A1A"/>
          <w:lang w:eastAsia="fr-FR"/>
        </w:rPr>
        <w:t>Devant un danger grave et imminent, l'employeur est tenu de réagir et d'assurer la sécurité des salariés. Son manque de réactivité pourrait lui être reproché.</w:t>
      </w:r>
    </w:p>
    <w:p w:rsidR="00B20BFC" w:rsidRPr="00A33B45" w:rsidRDefault="00B20BFC" w:rsidP="00B20BFC">
      <w:pPr>
        <w:spacing w:after="0" w:line="240" w:lineRule="auto"/>
        <w:ind w:left="1440"/>
        <w:jc w:val="both"/>
        <w:rPr>
          <w:rFonts w:ascii="Arial" w:eastAsia="Times New Roman" w:hAnsi="Arial" w:cs="Arial"/>
          <w:lang w:eastAsia="fr-FR"/>
        </w:rPr>
      </w:pPr>
    </w:p>
    <w:p w:rsidR="00B20BFC" w:rsidRPr="00A33B45" w:rsidRDefault="00B20BFC" w:rsidP="00B20BFC">
      <w:pPr>
        <w:spacing w:after="0" w:line="240" w:lineRule="auto"/>
        <w:ind w:left="1440"/>
        <w:jc w:val="both"/>
        <w:rPr>
          <w:rFonts w:ascii="Arial" w:eastAsia="Times New Roman" w:hAnsi="Arial" w:cs="Arial"/>
          <w:lang w:eastAsia="fr-FR"/>
        </w:rPr>
      </w:pPr>
      <w:r w:rsidRPr="00A33B45">
        <w:rPr>
          <w:rFonts w:ascii="Arial" w:eastAsia="Times New Roman" w:hAnsi="Arial" w:cs="Arial"/>
          <w:b/>
          <w:bCs/>
          <w:color w:val="1A1A1A"/>
          <w:lang w:eastAsia="fr-FR"/>
        </w:rPr>
        <w:t>- La réunion en urgence du CSE :</w:t>
      </w:r>
    </w:p>
    <w:p w:rsidR="00B20BFC" w:rsidRDefault="00B20BFC" w:rsidP="00B20BFC">
      <w:pPr>
        <w:spacing w:after="0" w:line="240" w:lineRule="auto"/>
        <w:ind w:left="1440"/>
        <w:jc w:val="both"/>
        <w:rPr>
          <w:rFonts w:ascii="Arial" w:eastAsia="Times New Roman" w:hAnsi="Arial" w:cs="Arial"/>
          <w:color w:val="1A1A1A"/>
          <w:lang w:eastAsia="fr-FR"/>
        </w:rPr>
      </w:pPr>
      <w:r w:rsidRPr="00A33B45">
        <w:rPr>
          <w:rFonts w:ascii="Arial" w:eastAsia="Times New Roman" w:hAnsi="Arial" w:cs="Arial"/>
          <w:color w:val="1A1A1A"/>
          <w:lang w:eastAsia="fr-FR"/>
        </w:rPr>
        <w:t xml:space="preserve">En cas de divergence sur la réalité du danger ou la façon de le faire cesser, le CSE est réuni d'urgence (dans un délai n'excédant pas 24 heures). En outre, l'employeur doit informer immédiatement l'inspecteur du travail et l'agent du service de prévention de la CARSAT qui peuvent assister à la réunion du CSE (C. </w:t>
      </w:r>
      <w:proofErr w:type="spellStart"/>
      <w:proofErr w:type="gramStart"/>
      <w:r w:rsidRPr="00A33B45">
        <w:rPr>
          <w:rFonts w:ascii="Arial" w:eastAsia="Times New Roman" w:hAnsi="Arial" w:cs="Arial"/>
          <w:color w:val="1A1A1A"/>
          <w:lang w:eastAsia="fr-FR"/>
        </w:rPr>
        <w:t>trav</w:t>
      </w:r>
      <w:proofErr w:type="spellEnd"/>
      <w:r w:rsidRPr="00A33B45">
        <w:rPr>
          <w:rFonts w:ascii="Arial" w:eastAsia="Times New Roman" w:hAnsi="Arial" w:cs="Arial"/>
          <w:color w:val="1A1A1A"/>
          <w:lang w:eastAsia="fr-FR"/>
        </w:rPr>
        <w:t>.,</w:t>
      </w:r>
      <w:proofErr w:type="gramEnd"/>
      <w:r w:rsidRPr="00A33B45">
        <w:rPr>
          <w:rFonts w:ascii="Arial" w:eastAsia="Times New Roman" w:hAnsi="Arial" w:cs="Arial"/>
          <w:color w:val="1A1A1A"/>
          <w:lang w:eastAsia="fr-FR"/>
        </w:rPr>
        <w:t xml:space="preserve"> art. </w:t>
      </w:r>
      <w:hyperlink r:id="rId13" w:history="1">
        <w:r w:rsidRPr="00FE6CC8">
          <w:rPr>
            <w:rStyle w:val="Lienhypertexte"/>
            <w:rFonts w:ascii="Arial" w:eastAsia="Times New Roman" w:hAnsi="Arial" w:cs="Arial"/>
            <w:lang w:eastAsia="fr-FR"/>
          </w:rPr>
          <w:t>L. 4132-3</w:t>
        </w:r>
      </w:hyperlink>
      <w:r w:rsidRPr="00A33B45">
        <w:rPr>
          <w:rFonts w:ascii="Arial" w:eastAsia="Times New Roman" w:hAnsi="Arial" w:cs="Arial"/>
          <w:color w:val="1A1A1A"/>
          <w:lang w:eastAsia="fr-FR"/>
        </w:rPr>
        <w:t>).</w:t>
      </w:r>
    </w:p>
    <w:p w:rsidR="00B20BFC" w:rsidRPr="00A33B45" w:rsidRDefault="00B20BFC" w:rsidP="00B20BFC">
      <w:pPr>
        <w:spacing w:after="0" w:line="240" w:lineRule="auto"/>
        <w:ind w:left="1440"/>
        <w:jc w:val="both"/>
        <w:rPr>
          <w:rFonts w:ascii="Arial" w:eastAsia="Times New Roman" w:hAnsi="Arial" w:cs="Arial"/>
          <w:lang w:eastAsia="fr-FR"/>
        </w:rPr>
      </w:pPr>
    </w:p>
    <w:p w:rsidR="00B20BFC" w:rsidRPr="00A33B45" w:rsidRDefault="00B20BFC" w:rsidP="00B20BFC">
      <w:pPr>
        <w:spacing w:after="0" w:line="240" w:lineRule="auto"/>
        <w:ind w:left="1440"/>
        <w:jc w:val="both"/>
        <w:rPr>
          <w:rFonts w:ascii="Arial" w:eastAsia="Times New Roman" w:hAnsi="Arial" w:cs="Arial"/>
          <w:lang w:eastAsia="fr-FR"/>
        </w:rPr>
      </w:pPr>
      <w:r w:rsidRPr="00A33B45">
        <w:rPr>
          <w:rFonts w:ascii="Arial" w:eastAsia="Times New Roman" w:hAnsi="Arial" w:cs="Arial"/>
          <w:color w:val="1A1A1A"/>
          <w:lang w:eastAsia="fr-FR"/>
        </w:rPr>
        <w:t xml:space="preserve">- </w:t>
      </w:r>
      <w:r w:rsidRPr="00A33B45">
        <w:rPr>
          <w:rFonts w:ascii="Arial" w:eastAsia="Times New Roman" w:hAnsi="Arial" w:cs="Arial"/>
          <w:b/>
          <w:bCs/>
          <w:color w:val="1A1A1A"/>
          <w:lang w:eastAsia="fr-FR"/>
        </w:rPr>
        <w:t>La saisine de l'inspection du travail :</w:t>
      </w:r>
    </w:p>
    <w:p w:rsidR="00B20BFC" w:rsidRPr="00A33B45" w:rsidRDefault="00B20BFC" w:rsidP="00B20BFC">
      <w:pPr>
        <w:spacing w:after="0" w:line="240" w:lineRule="auto"/>
        <w:ind w:left="1440"/>
        <w:jc w:val="both"/>
        <w:rPr>
          <w:rFonts w:ascii="Arial" w:eastAsia="Times New Roman" w:hAnsi="Arial" w:cs="Arial"/>
          <w:lang w:eastAsia="fr-FR"/>
        </w:rPr>
      </w:pPr>
      <w:r w:rsidRPr="00A33B45">
        <w:rPr>
          <w:rFonts w:ascii="Arial" w:eastAsia="Times New Roman" w:hAnsi="Arial" w:cs="Arial"/>
          <w:color w:val="1A1A1A"/>
          <w:lang w:eastAsia="fr-FR"/>
        </w:rPr>
        <w:t xml:space="preserve">A défaut d'accord entre l'employeur et la majorité du CSE sur les mesures à prendre et leurs conditions d'exécution, l'inspecteur du travail est saisi immédiatement par l'employeur. Ce dernier dispose alors de deux possibilités. Il peut soit remettre un rapport au </w:t>
      </w:r>
      <w:proofErr w:type="spellStart"/>
      <w:r w:rsidRPr="00A33B45">
        <w:rPr>
          <w:rFonts w:ascii="Arial" w:eastAsia="Times New Roman" w:hAnsi="Arial" w:cs="Arial"/>
          <w:color w:val="1A1A1A"/>
          <w:lang w:eastAsia="fr-FR"/>
        </w:rPr>
        <w:t>Direccte</w:t>
      </w:r>
      <w:proofErr w:type="spellEnd"/>
      <w:r w:rsidRPr="00A33B45">
        <w:rPr>
          <w:rFonts w:ascii="Arial" w:eastAsia="Times New Roman" w:hAnsi="Arial" w:cs="Arial"/>
          <w:color w:val="1A1A1A"/>
          <w:lang w:eastAsia="fr-FR"/>
        </w:rPr>
        <w:t xml:space="preserve"> afin que celui-ci mette en demeure l'employeur de mettre en œuvre toutes les mesures qu'il estime utile (art. L. 4721-1), soit saisir le juge des référés (art. L. 4732-1).</w:t>
      </w:r>
    </w:p>
    <w:p w:rsidR="00B20BFC" w:rsidRPr="00A33B45" w:rsidRDefault="00B20BFC" w:rsidP="00B20BFC">
      <w:pPr>
        <w:spacing w:after="0" w:line="240" w:lineRule="auto"/>
        <w:ind w:left="1440"/>
        <w:jc w:val="both"/>
        <w:rPr>
          <w:rFonts w:ascii="Arial" w:eastAsia="Times New Roman" w:hAnsi="Arial" w:cs="Arial"/>
          <w:lang w:eastAsia="fr-FR"/>
        </w:rPr>
      </w:pPr>
      <w:r w:rsidRPr="00A33B45">
        <w:rPr>
          <w:rFonts w:ascii="Arial" w:eastAsia="Times New Roman" w:hAnsi="Arial" w:cs="Arial"/>
          <w:color w:val="1A1A1A"/>
          <w:lang w:eastAsia="fr-FR"/>
        </w:rPr>
        <w:t>Dans cette hypothèse, le juge des référés peut ordonner toutes mesures propres à faire cesser le danger</w:t>
      </w:r>
      <w:r w:rsidR="006B59AC">
        <w:rPr>
          <w:rFonts w:ascii="Arial" w:eastAsia="Times New Roman" w:hAnsi="Arial" w:cs="Arial"/>
          <w:color w:val="1A1A1A"/>
          <w:lang w:eastAsia="fr-FR"/>
        </w:rPr>
        <w:t>.</w:t>
      </w:r>
    </w:p>
    <w:p w:rsidR="00B20BFC" w:rsidRPr="00A33B45" w:rsidRDefault="00B20BFC" w:rsidP="00B20BFC">
      <w:pPr>
        <w:spacing w:after="0" w:line="240" w:lineRule="auto"/>
        <w:rPr>
          <w:rFonts w:ascii="Arial" w:eastAsia="Times New Roman" w:hAnsi="Arial" w:cs="Arial"/>
          <w:lang w:eastAsia="fr-FR"/>
        </w:rPr>
      </w:pPr>
    </w:p>
    <w:p w:rsidR="00B20BFC" w:rsidRPr="00A33B45" w:rsidRDefault="00B20BFC" w:rsidP="00B20BFC">
      <w:pPr>
        <w:spacing w:after="0" w:line="240" w:lineRule="auto"/>
        <w:jc w:val="both"/>
        <w:rPr>
          <w:rFonts w:ascii="Arial" w:eastAsia="Times New Roman" w:hAnsi="Arial" w:cs="Arial"/>
          <w:lang w:eastAsia="fr-FR"/>
        </w:rPr>
      </w:pPr>
      <w:r w:rsidRPr="00A33B45">
        <w:rPr>
          <w:rFonts w:ascii="Arial" w:eastAsia="Times New Roman" w:hAnsi="Arial" w:cs="Arial"/>
          <w:color w:val="1A1A1A"/>
          <w:lang w:eastAsia="fr-FR"/>
        </w:rPr>
        <w:t> </w:t>
      </w:r>
    </w:p>
    <w:p w:rsidR="00B20BFC" w:rsidRPr="00B20BFC" w:rsidRDefault="00B20BFC" w:rsidP="00B20BFC">
      <w:pPr>
        <w:spacing w:after="0" w:line="240" w:lineRule="auto"/>
        <w:rPr>
          <w:rFonts w:ascii="Arial" w:eastAsia="Times New Roman" w:hAnsi="Arial" w:cs="Arial"/>
          <w:color w:val="1A1A1A"/>
          <w:lang w:eastAsia="fr-FR"/>
        </w:rPr>
      </w:pPr>
      <w:r w:rsidRPr="00B20BFC">
        <w:rPr>
          <w:rFonts w:ascii="Arial" w:eastAsia="Times New Roman" w:hAnsi="Arial" w:cs="Arial"/>
          <w:color w:val="1A1A1A"/>
          <w:lang w:eastAsia="fr-FR"/>
        </w:rPr>
        <w:t>Le document unique d’évaluation des risques devra également être modifié dans des délais raisonnables.</w:t>
      </w:r>
    </w:p>
    <w:p w:rsidR="006B59AC" w:rsidRDefault="00B20BFC" w:rsidP="006B59AC">
      <w:pPr>
        <w:autoSpaceDE w:val="0"/>
        <w:autoSpaceDN w:val="0"/>
        <w:adjustRightInd w:val="0"/>
        <w:spacing w:after="0" w:line="240" w:lineRule="auto"/>
        <w:rPr>
          <w:rFonts w:ascii="Arial" w:eastAsia="Times New Roman" w:hAnsi="Arial" w:cs="Arial"/>
          <w:color w:val="1A1A1A"/>
          <w:lang w:eastAsia="fr-FR"/>
        </w:rPr>
      </w:pPr>
      <w:r w:rsidRPr="00A33B45">
        <w:rPr>
          <w:rFonts w:ascii="Arial" w:eastAsia="Times New Roman" w:hAnsi="Arial" w:cs="Arial"/>
          <w:lang w:eastAsia="fr-FR"/>
        </w:rPr>
        <w:br/>
      </w:r>
      <w:bookmarkStart w:id="0" w:name="_GoBack"/>
      <w:bookmarkEnd w:id="0"/>
      <w:r w:rsidRPr="00A33B45">
        <w:rPr>
          <w:rFonts w:ascii="Arial" w:eastAsia="Times New Roman" w:hAnsi="Arial" w:cs="Arial"/>
          <w:lang w:eastAsia="fr-FR"/>
        </w:rPr>
        <w:br/>
      </w:r>
      <w:r w:rsidR="00606D05" w:rsidRPr="00606D05">
        <w:rPr>
          <w:rFonts w:ascii="Arial" w:eastAsia="Times New Roman" w:hAnsi="Arial" w:cs="Arial"/>
          <w:color w:val="1A1A1A"/>
          <w:lang w:eastAsia="fr-FR"/>
        </w:rPr>
        <w:t xml:space="preserve">Le rôle des élus CSE est éminemment primordial en cette période. Vous pouvez utilement vous reporter à la fiche </w:t>
      </w:r>
      <w:r w:rsidR="00606D05">
        <w:rPr>
          <w:rFonts w:ascii="Arial" w:eastAsia="Times New Roman" w:hAnsi="Arial" w:cs="Arial"/>
          <w:color w:val="1A1A1A"/>
          <w:lang w:eastAsia="fr-FR"/>
        </w:rPr>
        <w:t xml:space="preserve">UNSA </w:t>
      </w:r>
      <w:r w:rsidR="00606D05" w:rsidRPr="00606D05">
        <w:rPr>
          <w:rFonts w:ascii="Arial" w:eastAsia="Times New Roman" w:hAnsi="Arial" w:cs="Arial"/>
          <w:color w:val="1A1A1A"/>
          <w:lang w:eastAsia="fr-FR"/>
        </w:rPr>
        <w:t xml:space="preserve">droit de retrait du travailleur </w:t>
      </w:r>
      <w:r w:rsidR="00640E6A">
        <w:rPr>
          <w:rFonts w:ascii="Arial" w:eastAsia="Times New Roman" w:hAnsi="Arial" w:cs="Arial"/>
          <w:color w:val="1A1A1A"/>
          <w:lang w:eastAsia="fr-FR"/>
        </w:rPr>
        <w:t xml:space="preserve">publiée sur la FAQ utile aux salariés </w:t>
      </w:r>
      <w:r w:rsidR="00606D05" w:rsidRPr="00606D05">
        <w:rPr>
          <w:rFonts w:ascii="Arial" w:eastAsia="Times New Roman" w:hAnsi="Arial" w:cs="Arial"/>
          <w:color w:val="1A1A1A"/>
          <w:lang w:eastAsia="fr-FR"/>
        </w:rPr>
        <w:t xml:space="preserve">et </w:t>
      </w:r>
      <w:hyperlink r:id="rId14" w:history="1">
        <w:r w:rsidR="00606D05" w:rsidRPr="00640E6A">
          <w:rPr>
            <w:rStyle w:val="Lienhypertexte"/>
            <w:rFonts w:ascii="Arial" w:eastAsia="Times New Roman" w:hAnsi="Arial" w:cs="Arial"/>
            <w:lang w:eastAsia="fr-FR"/>
          </w:rPr>
          <w:t>aux fiches conseil</w:t>
        </w:r>
        <w:r w:rsidR="00606D05" w:rsidRPr="00640E6A">
          <w:rPr>
            <w:rStyle w:val="Lienhypertexte"/>
            <w:rFonts w:ascii="Arial" w:eastAsia="Times New Roman" w:hAnsi="Arial" w:cs="Arial"/>
            <w:lang w:eastAsia="fr-FR"/>
          </w:rPr>
          <w:t>s</w:t>
        </w:r>
        <w:r w:rsidR="00606D05" w:rsidRPr="00640E6A">
          <w:rPr>
            <w:rStyle w:val="Lienhypertexte"/>
            <w:rFonts w:ascii="Arial" w:eastAsia="Times New Roman" w:hAnsi="Arial" w:cs="Arial"/>
            <w:lang w:eastAsia="fr-FR"/>
          </w:rPr>
          <w:t xml:space="preserve"> par métier publiées sur le site du ministère du travail</w:t>
        </w:r>
      </w:hyperlink>
      <w:r w:rsidR="00606D05" w:rsidRPr="00606D05">
        <w:rPr>
          <w:rFonts w:ascii="Arial" w:eastAsia="Times New Roman" w:hAnsi="Arial" w:cs="Arial"/>
          <w:color w:val="1A1A1A"/>
          <w:lang w:eastAsia="fr-FR"/>
        </w:rPr>
        <w:t xml:space="preserve">. </w:t>
      </w:r>
    </w:p>
    <w:p w:rsidR="00640E6A" w:rsidRDefault="00640E6A" w:rsidP="006B59AC">
      <w:pPr>
        <w:autoSpaceDE w:val="0"/>
        <w:autoSpaceDN w:val="0"/>
        <w:adjustRightInd w:val="0"/>
        <w:spacing w:after="0" w:line="240" w:lineRule="auto"/>
        <w:rPr>
          <w:rFonts w:ascii="Arial" w:eastAsia="Times New Roman" w:hAnsi="Arial" w:cs="Arial"/>
          <w:color w:val="1A1A1A"/>
          <w:lang w:eastAsia="fr-FR"/>
        </w:rPr>
      </w:pPr>
    </w:p>
    <w:sectPr w:rsidR="00640E6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BC" w:rsidRDefault="00F967BC" w:rsidP="008D10A9">
      <w:pPr>
        <w:spacing w:after="0" w:line="240" w:lineRule="auto"/>
      </w:pPr>
      <w:r>
        <w:separator/>
      </w:r>
    </w:p>
  </w:endnote>
  <w:endnote w:type="continuationSeparator" w:id="0">
    <w:p w:rsidR="00F967BC" w:rsidRDefault="00F967BC" w:rsidP="008D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08784"/>
      <w:docPartObj>
        <w:docPartGallery w:val="Page Numbers (Bottom of Page)"/>
        <w:docPartUnique/>
      </w:docPartObj>
    </w:sdtPr>
    <w:sdtEndPr/>
    <w:sdtContent>
      <w:p w:rsidR="008D10A9" w:rsidRDefault="008D10A9">
        <w:pPr>
          <w:pStyle w:val="Pieddepage"/>
          <w:jc w:val="right"/>
        </w:pPr>
        <w:r>
          <w:fldChar w:fldCharType="begin"/>
        </w:r>
        <w:r>
          <w:instrText>PAGE   \* MERGEFORMAT</w:instrText>
        </w:r>
        <w:r>
          <w:fldChar w:fldCharType="separate"/>
        </w:r>
        <w:r w:rsidR="0085149E">
          <w:rPr>
            <w:noProof/>
          </w:rPr>
          <w:t>2</w:t>
        </w:r>
        <w:r>
          <w:fldChar w:fldCharType="end"/>
        </w:r>
      </w:p>
    </w:sdtContent>
  </w:sdt>
  <w:p w:rsidR="008D10A9" w:rsidRDefault="008D10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BC" w:rsidRDefault="00F967BC" w:rsidP="008D10A9">
      <w:pPr>
        <w:spacing w:after="0" w:line="240" w:lineRule="auto"/>
      </w:pPr>
      <w:r>
        <w:separator/>
      </w:r>
    </w:p>
  </w:footnote>
  <w:footnote w:type="continuationSeparator" w:id="0">
    <w:p w:rsidR="00F967BC" w:rsidRDefault="00F967BC" w:rsidP="008D1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33C13"/>
    <w:multiLevelType w:val="multilevel"/>
    <w:tmpl w:val="B76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E02AD"/>
    <w:multiLevelType w:val="hybridMultilevel"/>
    <w:tmpl w:val="64AA500A"/>
    <w:lvl w:ilvl="0" w:tplc="4F9EE9C8">
      <w:numFmt w:val="bullet"/>
      <w:lvlText w:val="-"/>
      <w:lvlJc w:val="left"/>
      <w:pPr>
        <w:ind w:left="1800" w:hanging="360"/>
      </w:pPr>
      <w:rPr>
        <w:rFonts w:ascii="Arial" w:eastAsia="Times New Roman" w:hAnsi="Arial" w:cs="Arial" w:hint="default"/>
        <w:b/>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FC"/>
    <w:rsid w:val="00045DCD"/>
    <w:rsid w:val="00083E66"/>
    <w:rsid w:val="00093BA0"/>
    <w:rsid w:val="000C6157"/>
    <w:rsid w:val="00214D15"/>
    <w:rsid w:val="00216CA5"/>
    <w:rsid w:val="002E5F65"/>
    <w:rsid w:val="00330A54"/>
    <w:rsid w:val="00330E90"/>
    <w:rsid w:val="003E2889"/>
    <w:rsid w:val="00520B5C"/>
    <w:rsid w:val="00552DA8"/>
    <w:rsid w:val="00575E93"/>
    <w:rsid w:val="005A5F65"/>
    <w:rsid w:val="005D72BA"/>
    <w:rsid w:val="00606D05"/>
    <w:rsid w:val="00640E6A"/>
    <w:rsid w:val="00697CAF"/>
    <w:rsid w:val="006A6881"/>
    <w:rsid w:val="006B59AC"/>
    <w:rsid w:val="006F15ED"/>
    <w:rsid w:val="00757CF0"/>
    <w:rsid w:val="00803A93"/>
    <w:rsid w:val="0085149E"/>
    <w:rsid w:val="00865D19"/>
    <w:rsid w:val="008D10A9"/>
    <w:rsid w:val="00901E26"/>
    <w:rsid w:val="009565E2"/>
    <w:rsid w:val="009665EF"/>
    <w:rsid w:val="0099421D"/>
    <w:rsid w:val="00A3287C"/>
    <w:rsid w:val="00A56FC8"/>
    <w:rsid w:val="00AD0818"/>
    <w:rsid w:val="00B20BFC"/>
    <w:rsid w:val="00D07163"/>
    <w:rsid w:val="00D316EE"/>
    <w:rsid w:val="00DA380E"/>
    <w:rsid w:val="00F967BC"/>
    <w:rsid w:val="00FC2FC8"/>
    <w:rsid w:val="00FE6C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79853-2DCC-4B16-A11F-61903012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65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665EF"/>
    <w:rPr>
      <w:color w:val="0000FF"/>
      <w:u w:val="single"/>
    </w:rPr>
  </w:style>
  <w:style w:type="character" w:styleId="lev">
    <w:name w:val="Strong"/>
    <w:basedOn w:val="Policepardfaut"/>
    <w:uiPriority w:val="22"/>
    <w:qFormat/>
    <w:rsid w:val="009665EF"/>
    <w:rPr>
      <w:b/>
      <w:bCs/>
    </w:rPr>
  </w:style>
  <w:style w:type="character" w:styleId="Lienhypertextesuivivisit">
    <w:name w:val="FollowedHyperlink"/>
    <w:basedOn w:val="Policepardfaut"/>
    <w:uiPriority w:val="99"/>
    <w:semiHidden/>
    <w:unhideWhenUsed/>
    <w:rsid w:val="006B59AC"/>
    <w:rPr>
      <w:color w:val="954F72" w:themeColor="followedHyperlink"/>
      <w:u w:val="single"/>
    </w:rPr>
  </w:style>
  <w:style w:type="paragraph" w:styleId="Paragraphedeliste">
    <w:name w:val="List Paragraph"/>
    <w:basedOn w:val="Normal"/>
    <w:uiPriority w:val="34"/>
    <w:qFormat/>
    <w:rsid w:val="00FE6CC8"/>
    <w:pPr>
      <w:ind w:left="720"/>
      <w:contextualSpacing/>
    </w:pPr>
  </w:style>
  <w:style w:type="table" w:styleId="Grilledutableau">
    <w:name w:val="Table Grid"/>
    <w:basedOn w:val="TableauNormal"/>
    <w:uiPriority w:val="39"/>
    <w:rsid w:val="00A5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D10A9"/>
    <w:pPr>
      <w:tabs>
        <w:tab w:val="center" w:pos="4536"/>
        <w:tab w:val="right" w:pos="9072"/>
      </w:tabs>
      <w:spacing w:after="0" w:line="240" w:lineRule="auto"/>
    </w:pPr>
  </w:style>
  <w:style w:type="character" w:customStyle="1" w:styleId="En-tteCar">
    <w:name w:val="En-tête Car"/>
    <w:basedOn w:val="Policepardfaut"/>
    <w:link w:val="En-tte"/>
    <w:uiPriority w:val="99"/>
    <w:rsid w:val="008D10A9"/>
  </w:style>
  <w:style w:type="paragraph" w:styleId="Pieddepage">
    <w:name w:val="footer"/>
    <w:basedOn w:val="Normal"/>
    <w:link w:val="PieddepageCar"/>
    <w:uiPriority w:val="99"/>
    <w:unhideWhenUsed/>
    <w:rsid w:val="008D1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35640828&amp;cidTexte=LEGITEXT000006072050&amp;dateTexte=20171001" TargetMode="External"/><Relationship Id="rId13" Type="http://schemas.openxmlformats.org/officeDocument/2006/relationships/hyperlink" Target="https://www.legifrance.gouv.fr/affichCodeArticle.do?idArticle=LEGIARTI000033025305&amp;cidTexte=LEGITEXT000006072050&amp;dateTexte=201608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CodeArticle.do?idArticle=LEGIARTI000036762002&amp;cidTexte=LEGITEXT000006072050&amp;dateTexte=201804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jsessionid=17B785273F8CE2771A053582F1DBA58E.tplgfr41s_1?idArticle=LEGIARTI000036484010&amp;cidTexte=LEGITEXT000006072050&amp;dateTexte=201805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egifrance.gouv.fr/affichCodeArticle.do;jsessionid=5B34D95B7CCA703987ED42F8C3012120.tplgfr27s_3?idArticle=LEGIARTI000035653288&amp;cidTexte=LEGITEXT000006072050&amp;dateTexte=20200511&amp;categorieLien=id&amp;oldAction=" TargetMode="External"/><Relationship Id="rId4" Type="http://schemas.openxmlformats.org/officeDocument/2006/relationships/webSettings" Target="webSettings.xml"/><Relationship Id="rId9" Type="http://schemas.openxmlformats.org/officeDocument/2006/relationships/hyperlink" Target="https://www.legifrance.gouv.fr/affichCodeArticle.do?idArticle=LEGIARTI000035653297&amp;cidTexte=LEGITEXT000006072050&amp;dateTexte=20180101" TargetMode="External"/><Relationship Id="rId14" Type="http://schemas.openxmlformats.org/officeDocument/2006/relationships/hyperlink" Target="https://travail-emploi.gouv.fr/le-ministere-en-action/coronavirus-covid-19/proteger-les-travailleurs-les-emplois-les-savoir-faire-et-les-competences/proteger-les-travailleurs/article/fiches-conseils-metiers-et-guides-pour-les-salaries-et-les-employ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886</Words>
  <Characters>4873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dc:description/>
  <cp:lastModifiedBy>florence</cp:lastModifiedBy>
  <cp:revision>20</cp:revision>
  <dcterms:created xsi:type="dcterms:W3CDTF">2020-05-11T07:16:00Z</dcterms:created>
  <dcterms:modified xsi:type="dcterms:W3CDTF">2020-05-11T14:29:00Z</dcterms:modified>
</cp:coreProperties>
</file>